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 xml:space="preserve">Supplementary Materials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  <w:t xml:space="preserve">High-level conceptual documentation, diagrams, and publicly available research materials are provided through the author’s Zenodo record (no implementation details are disclosed)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https://doi.org/10.5281/zenodo.17576479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5281/zenodo.1757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